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92D699" w14:textId="4C03342C" w:rsidR="00CC594A" w:rsidRPr="00A021DB" w:rsidRDefault="002D2AAD" w:rsidP="002D2AAD">
      <w:pPr>
        <w:spacing w:after="120" w:line="336" w:lineRule="atLeast"/>
        <w:jc w:val="center"/>
        <w:outlineLvl w:val="1"/>
        <w:rPr>
          <w:rFonts w:asciiTheme="majorHAnsi" w:eastAsia="Times New Roman" w:hAnsiTheme="majorHAnsi" w:cs="Arial"/>
          <w:b/>
          <w:color w:val="000000" w:themeColor="text1"/>
          <w:kern w:val="36"/>
          <w:sz w:val="30"/>
          <w:szCs w:val="30"/>
          <w:lang w:val="es-DO"/>
        </w:rPr>
      </w:pPr>
      <w:r w:rsidRPr="00A021DB">
        <w:rPr>
          <w:rFonts w:asciiTheme="majorHAnsi" w:eastAsia="Times New Roman" w:hAnsiTheme="majorHAnsi" w:cs="Arial"/>
          <w:b/>
          <w:color w:val="000000" w:themeColor="text1"/>
          <w:kern w:val="36"/>
          <w:sz w:val="30"/>
          <w:szCs w:val="30"/>
          <w:lang w:val="es-DO"/>
        </w:rPr>
        <w:t>CEFEPIME 1GR Polvo para Solución Inyectable/ Vial</w:t>
      </w:r>
    </w:p>
    <w:p w14:paraId="094A7948" w14:textId="77777777" w:rsidR="00CC594A" w:rsidRPr="00A021DB" w:rsidRDefault="00CC594A" w:rsidP="002D2AAD">
      <w:pPr>
        <w:spacing w:after="120" w:line="336" w:lineRule="atLeast"/>
        <w:jc w:val="center"/>
        <w:outlineLvl w:val="1"/>
        <w:rPr>
          <w:rFonts w:asciiTheme="majorHAnsi" w:eastAsia="Times New Roman" w:hAnsiTheme="majorHAnsi" w:cs="Arial"/>
          <w:b/>
          <w:color w:val="000000" w:themeColor="text1"/>
          <w:kern w:val="36"/>
          <w:sz w:val="30"/>
          <w:szCs w:val="30"/>
          <w:lang w:val="es-DO"/>
        </w:rPr>
      </w:pPr>
    </w:p>
    <w:p w14:paraId="76BF1E48" w14:textId="723F8126" w:rsidR="00FC4A30" w:rsidRPr="00A021DB" w:rsidRDefault="00CC594A" w:rsidP="00FC4A30">
      <w:pPr>
        <w:spacing w:after="120" w:line="336" w:lineRule="atLeast"/>
        <w:outlineLvl w:val="1"/>
        <w:rPr>
          <w:rFonts w:ascii="Arial" w:eastAsia="Times New Roman" w:hAnsi="Arial" w:cs="Arial"/>
          <w:color w:val="000000" w:themeColor="text1"/>
          <w:kern w:val="36"/>
          <w:lang w:val="es-DO"/>
        </w:rPr>
      </w:pPr>
      <w:proofErr w:type="spellStart"/>
      <w:r w:rsidRPr="00A021DB">
        <w:rPr>
          <w:rFonts w:ascii="Arial" w:eastAsia="Times New Roman" w:hAnsi="Arial" w:cs="Arial"/>
          <w:color w:val="000000" w:themeColor="text1"/>
          <w:kern w:val="36"/>
          <w:lang w:val="es-DO"/>
        </w:rPr>
        <w:t>Cefepime</w:t>
      </w:r>
      <w:proofErr w:type="spellEnd"/>
      <w:r w:rsidR="00FC4A30" w:rsidRPr="00A021DB">
        <w:rPr>
          <w:rFonts w:ascii="Arial" w:eastAsia="Times New Roman" w:hAnsi="Arial" w:cs="Arial"/>
          <w:color w:val="000000" w:themeColor="text1"/>
          <w:kern w:val="36"/>
          <w:lang w:val="es-DO"/>
        </w:rPr>
        <w:t xml:space="preserve"> Vial </w:t>
      </w:r>
    </w:p>
    <w:p w14:paraId="1CF9AF16" w14:textId="77777777" w:rsidR="00FC4A30" w:rsidRPr="00A021DB" w:rsidRDefault="00FC4A30" w:rsidP="00734F81">
      <w:pPr>
        <w:spacing w:after="0" w:line="360" w:lineRule="atLeast"/>
        <w:rPr>
          <w:rFonts w:ascii="Arial" w:eastAsia="Times New Roman" w:hAnsi="Arial" w:cs="Arial"/>
          <w:vanish/>
          <w:color w:val="000000" w:themeColor="text1"/>
          <w:lang w:val="es-DO"/>
        </w:rPr>
      </w:pPr>
      <w:r w:rsidRPr="00A021DB">
        <w:rPr>
          <w:rFonts w:ascii="Arial" w:eastAsia="Times New Roman" w:hAnsi="Arial" w:cs="Arial"/>
          <w:vanish/>
          <w:color w:val="000000" w:themeColor="text1"/>
          <w:lang w:val="es-DO"/>
        </w:rPr>
        <w:t xml:space="preserve">0.00 </w:t>
      </w:r>
    </w:p>
    <w:p w14:paraId="31BEAD71" w14:textId="70BE5CF5" w:rsidR="00FC4A30" w:rsidRPr="00A021DB" w:rsidRDefault="00734F81" w:rsidP="00734F81">
      <w:pPr>
        <w:spacing w:after="0" w:line="240" w:lineRule="atLeast"/>
        <w:rPr>
          <w:rFonts w:ascii="Arial" w:eastAsia="Times New Roman" w:hAnsi="Arial" w:cs="Arial"/>
          <w:color w:val="000000" w:themeColor="text1"/>
          <w:lang w:val="es-DO"/>
        </w:rPr>
      </w:pPr>
      <w:r w:rsidRPr="00A021DB">
        <w:rPr>
          <w:rFonts w:ascii="Arial" w:eastAsia="Times New Roman" w:hAnsi="Arial" w:cs="Arial"/>
          <w:b/>
          <w:bCs/>
          <w:color w:val="000000" w:themeColor="text1"/>
          <w:lang w:val="es-DO"/>
        </w:rPr>
        <w:t>PRESENTACION:</w:t>
      </w:r>
    </w:p>
    <w:p w14:paraId="7B10A8B4" w14:textId="77777777" w:rsidR="00FC4A30" w:rsidRPr="00A021DB" w:rsidRDefault="00FC4A30" w:rsidP="00734F81">
      <w:pPr>
        <w:spacing w:after="0" w:line="240" w:lineRule="atLeast"/>
        <w:rPr>
          <w:rFonts w:ascii="Arial" w:eastAsia="Times New Roman" w:hAnsi="Arial" w:cs="Arial"/>
          <w:color w:val="000000" w:themeColor="text1"/>
          <w:lang w:val="es-DO"/>
        </w:rPr>
      </w:pPr>
      <w:r w:rsidRPr="00A021DB">
        <w:rPr>
          <w:rFonts w:ascii="Arial" w:eastAsia="Times New Roman" w:hAnsi="Arial" w:cs="Arial"/>
          <w:color w:val="000000" w:themeColor="text1"/>
          <w:lang w:val="es-DO"/>
        </w:rPr>
        <w:t xml:space="preserve">Caja con un vial que contiene 1 g + Ampolla con 10mL de agua estéril. </w:t>
      </w:r>
    </w:p>
    <w:p w14:paraId="444B8FCA" w14:textId="77777777" w:rsidR="00734F81" w:rsidRPr="00A021DB" w:rsidRDefault="00734F81" w:rsidP="00734F81">
      <w:pPr>
        <w:spacing w:after="120" w:line="240" w:lineRule="atLeast"/>
        <w:rPr>
          <w:rFonts w:ascii="Arial" w:eastAsia="Times New Roman" w:hAnsi="Arial" w:cs="Arial"/>
          <w:color w:val="000000" w:themeColor="text1"/>
          <w:lang w:val="es-DO"/>
        </w:rPr>
      </w:pPr>
    </w:p>
    <w:p w14:paraId="49250DBB" w14:textId="520108D5" w:rsidR="00FC4A30" w:rsidRPr="00A021DB" w:rsidRDefault="00FC4A30" w:rsidP="00734F81">
      <w:pPr>
        <w:spacing w:after="120" w:line="240" w:lineRule="atLeast"/>
        <w:rPr>
          <w:rFonts w:ascii="Arial" w:eastAsia="Times New Roman" w:hAnsi="Arial" w:cs="Arial"/>
          <w:color w:val="000000" w:themeColor="text1"/>
          <w:lang w:val="es-DO"/>
        </w:rPr>
      </w:pPr>
      <w:r w:rsidRPr="00A021DB">
        <w:rPr>
          <w:rFonts w:ascii="Arial" w:eastAsia="Times New Roman" w:hAnsi="Arial" w:cs="Arial"/>
          <w:b/>
          <w:bCs/>
          <w:color w:val="000000" w:themeColor="text1"/>
          <w:lang w:val="es-DO"/>
        </w:rPr>
        <w:t>COMPOSICION</w:t>
      </w:r>
      <w:r w:rsidR="00734F81" w:rsidRPr="00A021DB">
        <w:rPr>
          <w:rFonts w:ascii="Arial" w:eastAsia="Times New Roman" w:hAnsi="Arial" w:cs="Arial"/>
          <w:b/>
          <w:bCs/>
          <w:color w:val="000000" w:themeColor="text1"/>
          <w:lang w:val="es-DO"/>
        </w:rPr>
        <w:t>:</w:t>
      </w:r>
    </w:p>
    <w:p w14:paraId="2D8CA104" w14:textId="77777777" w:rsidR="00FC4A30" w:rsidRPr="00A021DB" w:rsidRDefault="00FC4A30" w:rsidP="00734F81">
      <w:pPr>
        <w:spacing w:after="120" w:line="240" w:lineRule="atLeast"/>
        <w:rPr>
          <w:rFonts w:ascii="Arial" w:eastAsia="Times New Roman" w:hAnsi="Arial" w:cs="Arial"/>
          <w:color w:val="000000" w:themeColor="text1"/>
          <w:lang w:val="es-DO"/>
        </w:rPr>
      </w:pPr>
      <w:r w:rsidRPr="00A021DB">
        <w:rPr>
          <w:rFonts w:ascii="Arial" w:eastAsia="Times New Roman" w:hAnsi="Arial" w:cs="Arial"/>
          <w:color w:val="000000" w:themeColor="text1"/>
          <w:lang w:val="es-DO"/>
        </w:rPr>
        <w:t>Cada vial contiene:</w:t>
      </w:r>
    </w:p>
    <w:p w14:paraId="0709E761" w14:textId="77777777" w:rsidR="00FC4A30" w:rsidRPr="00A021DB" w:rsidRDefault="00FC4A30" w:rsidP="00734F81">
      <w:pPr>
        <w:spacing w:after="120" w:line="240" w:lineRule="atLeast"/>
        <w:rPr>
          <w:rFonts w:ascii="Arial" w:eastAsia="Times New Roman" w:hAnsi="Arial" w:cs="Arial"/>
          <w:color w:val="000000" w:themeColor="text1"/>
          <w:lang w:val="es-DO"/>
        </w:rPr>
      </w:pPr>
      <w:r w:rsidRPr="00A021DB">
        <w:rPr>
          <w:rFonts w:ascii="Arial" w:eastAsia="Times New Roman" w:hAnsi="Arial" w:cs="Arial"/>
          <w:color w:val="000000" w:themeColor="text1"/>
          <w:lang w:val="es-DO"/>
        </w:rPr>
        <w:t xml:space="preserve">Clorhidrato de </w:t>
      </w:r>
      <w:proofErr w:type="spellStart"/>
      <w:r w:rsidRPr="00A021DB">
        <w:rPr>
          <w:rFonts w:ascii="Arial" w:eastAsia="Times New Roman" w:hAnsi="Arial" w:cs="Arial"/>
          <w:color w:val="000000" w:themeColor="text1"/>
          <w:lang w:val="es-DO"/>
        </w:rPr>
        <w:t>Cefepime</w:t>
      </w:r>
      <w:proofErr w:type="spellEnd"/>
      <w:r w:rsidRPr="00A021DB">
        <w:rPr>
          <w:rFonts w:ascii="Arial" w:eastAsia="Times New Roman" w:hAnsi="Arial" w:cs="Arial"/>
          <w:color w:val="000000" w:themeColor="text1"/>
          <w:lang w:val="es-DO"/>
        </w:rPr>
        <w:t xml:space="preserve"> USP Estéril equivalente a </w:t>
      </w:r>
    </w:p>
    <w:p w14:paraId="21FE2E4F" w14:textId="77777777" w:rsidR="00FC4A30" w:rsidRPr="00A021DB" w:rsidRDefault="00FC4A30" w:rsidP="00734F81">
      <w:pPr>
        <w:spacing w:after="120" w:line="240" w:lineRule="atLeast"/>
        <w:rPr>
          <w:rFonts w:ascii="Arial" w:eastAsia="Times New Roman" w:hAnsi="Arial" w:cs="Arial"/>
          <w:color w:val="000000" w:themeColor="text1"/>
          <w:lang w:val="es-DO"/>
        </w:rPr>
      </w:pPr>
      <w:proofErr w:type="spellStart"/>
      <w:r w:rsidRPr="00A021DB">
        <w:rPr>
          <w:rFonts w:ascii="Arial" w:eastAsia="Times New Roman" w:hAnsi="Arial" w:cs="Arial"/>
          <w:color w:val="000000" w:themeColor="text1"/>
          <w:lang w:val="es-DO"/>
        </w:rPr>
        <w:t>Cefepime</w:t>
      </w:r>
      <w:proofErr w:type="spellEnd"/>
      <w:r w:rsidRPr="00A021DB">
        <w:rPr>
          <w:rFonts w:ascii="Arial" w:eastAsia="Times New Roman" w:hAnsi="Arial" w:cs="Arial"/>
          <w:color w:val="000000" w:themeColor="text1"/>
          <w:lang w:val="es-DO"/>
        </w:rPr>
        <w:t>                   1 g.</w:t>
      </w:r>
    </w:p>
    <w:p w14:paraId="4AEC6720" w14:textId="77777777" w:rsidR="00734F81" w:rsidRPr="00A021DB" w:rsidRDefault="00FC4A30" w:rsidP="00734F81">
      <w:pPr>
        <w:spacing w:after="120" w:line="240" w:lineRule="atLeast"/>
        <w:rPr>
          <w:rFonts w:ascii="Arial" w:eastAsia="Times New Roman" w:hAnsi="Arial" w:cs="Arial"/>
          <w:color w:val="000000" w:themeColor="text1"/>
          <w:lang w:val="es-DO"/>
        </w:rPr>
      </w:pPr>
      <w:r w:rsidRPr="00A021DB">
        <w:rPr>
          <w:rFonts w:ascii="Arial" w:eastAsia="Times New Roman" w:hAnsi="Arial" w:cs="Arial"/>
          <w:color w:val="000000" w:themeColor="text1"/>
          <w:lang w:val="es-DO"/>
        </w:rPr>
        <w:t>L-Arginina Estéril      0.8343 g.     </w:t>
      </w:r>
    </w:p>
    <w:p w14:paraId="2F435DC6" w14:textId="6A3D1495" w:rsidR="00FC4A30" w:rsidRPr="00A021DB" w:rsidRDefault="00FC4A30" w:rsidP="00734F81">
      <w:pPr>
        <w:spacing w:after="120" w:line="240" w:lineRule="atLeast"/>
        <w:rPr>
          <w:rFonts w:ascii="Arial" w:eastAsia="Times New Roman" w:hAnsi="Arial" w:cs="Arial"/>
          <w:color w:val="000000" w:themeColor="text1"/>
          <w:lang w:val="es-DO"/>
        </w:rPr>
      </w:pPr>
      <w:r w:rsidRPr="00A021DB">
        <w:rPr>
          <w:rFonts w:ascii="Arial" w:eastAsia="Times New Roman" w:hAnsi="Arial" w:cs="Arial"/>
          <w:color w:val="000000" w:themeColor="text1"/>
          <w:lang w:val="es-DO"/>
        </w:rPr>
        <w:t xml:space="preserve">                                 </w:t>
      </w:r>
    </w:p>
    <w:p w14:paraId="013B8C06" w14:textId="6713621F" w:rsidR="00FC4A30" w:rsidRPr="00A021DB" w:rsidRDefault="00FC4A30" w:rsidP="00FC4A30">
      <w:pPr>
        <w:spacing w:after="240" w:line="240" w:lineRule="atLeast"/>
        <w:rPr>
          <w:rFonts w:ascii="Arial" w:eastAsia="Times New Roman" w:hAnsi="Arial" w:cs="Arial"/>
          <w:color w:val="000000" w:themeColor="text1"/>
          <w:lang w:val="es-DO"/>
        </w:rPr>
      </w:pPr>
      <w:r w:rsidRPr="00A021DB">
        <w:rPr>
          <w:rFonts w:ascii="Arial" w:eastAsia="Times New Roman" w:hAnsi="Arial" w:cs="Arial"/>
          <w:b/>
          <w:bCs/>
          <w:color w:val="000000" w:themeColor="text1"/>
          <w:lang w:val="es-DO"/>
        </w:rPr>
        <w:t>ADMINISTRACION</w:t>
      </w:r>
      <w:r w:rsidR="00734F81" w:rsidRPr="00A021DB">
        <w:rPr>
          <w:rFonts w:ascii="Arial" w:eastAsia="Times New Roman" w:hAnsi="Arial" w:cs="Arial"/>
          <w:color w:val="000000" w:themeColor="text1"/>
          <w:lang w:val="es-DO"/>
        </w:rPr>
        <w:t xml:space="preserve">: </w:t>
      </w:r>
      <w:r w:rsidRPr="00A021DB">
        <w:rPr>
          <w:rFonts w:ascii="Arial" w:eastAsia="Times New Roman" w:hAnsi="Arial" w:cs="Arial"/>
          <w:color w:val="000000" w:themeColor="text1"/>
          <w:lang w:val="es-DO"/>
        </w:rPr>
        <w:t xml:space="preserve">I.V / I.M. </w:t>
      </w:r>
    </w:p>
    <w:p w14:paraId="087CAC93" w14:textId="262D7416" w:rsidR="00734F81" w:rsidRPr="00A021DB" w:rsidRDefault="00734F81" w:rsidP="00734F81">
      <w:pPr>
        <w:spacing w:after="0" w:line="240" w:lineRule="atLeast"/>
        <w:rPr>
          <w:rFonts w:ascii="Arial" w:eastAsia="Times New Roman" w:hAnsi="Arial" w:cs="Arial"/>
          <w:b/>
          <w:color w:val="000000" w:themeColor="text1"/>
          <w:lang w:val="es-DO"/>
        </w:rPr>
      </w:pPr>
      <w:r w:rsidRPr="00A021DB">
        <w:rPr>
          <w:rFonts w:ascii="Arial" w:eastAsia="Times New Roman" w:hAnsi="Arial" w:cs="Arial"/>
          <w:b/>
          <w:color w:val="000000" w:themeColor="text1"/>
          <w:lang w:val="es-DO"/>
        </w:rPr>
        <w:t>Uso:</w:t>
      </w:r>
    </w:p>
    <w:p w14:paraId="5C1E2664" w14:textId="32DCC54E" w:rsidR="00734F81" w:rsidRPr="00A021DB" w:rsidRDefault="00734F81" w:rsidP="00734F81">
      <w:pPr>
        <w:spacing w:after="0" w:line="240" w:lineRule="atLeast"/>
        <w:jc w:val="both"/>
        <w:rPr>
          <w:rFonts w:ascii="Arial" w:hAnsi="Arial" w:cs="Arial"/>
          <w:color w:val="000000" w:themeColor="text1"/>
        </w:rPr>
      </w:pPr>
      <w:r w:rsidRPr="00A021DB">
        <w:rPr>
          <w:rFonts w:ascii="Arial" w:hAnsi="Arial" w:cs="Arial"/>
          <w:color w:val="000000" w:themeColor="text1"/>
        </w:rPr>
        <w:t xml:space="preserve">La inyección de </w:t>
      </w:r>
      <w:proofErr w:type="spellStart"/>
      <w:r w:rsidRPr="00A021DB">
        <w:rPr>
          <w:rFonts w:ascii="Arial" w:hAnsi="Arial" w:cs="Arial"/>
          <w:color w:val="000000" w:themeColor="text1"/>
        </w:rPr>
        <w:t>cefepime</w:t>
      </w:r>
      <w:proofErr w:type="spellEnd"/>
      <w:r w:rsidRPr="00A021DB">
        <w:rPr>
          <w:rFonts w:ascii="Arial" w:hAnsi="Arial" w:cs="Arial"/>
          <w:color w:val="000000" w:themeColor="text1"/>
        </w:rPr>
        <w:t xml:space="preserve"> se utiliza para tratar ciertas infecciones ocasionadas por bacterias, incluso la neumonía, e infecciones de la piel, tracto urinario, y renales. La inyección de </w:t>
      </w:r>
      <w:proofErr w:type="spellStart"/>
      <w:r w:rsidRPr="00A021DB">
        <w:rPr>
          <w:rFonts w:ascii="Arial" w:hAnsi="Arial" w:cs="Arial"/>
          <w:color w:val="000000" w:themeColor="text1"/>
        </w:rPr>
        <w:t>cefepime</w:t>
      </w:r>
      <w:proofErr w:type="spellEnd"/>
      <w:r w:rsidRPr="00A021DB">
        <w:rPr>
          <w:rFonts w:ascii="Arial" w:hAnsi="Arial" w:cs="Arial"/>
          <w:color w:val="000000" w:themeColor="text1"/>
        </w:rPr>
        <w:t xml:space="preserve"> se usa en combinación con metronidazol para tratar infecciones abdominales (área del estómago). La inyección de </w:t>
      </w:r>
      <w:proofErr w:type="spellStart"/>
      <w:r w:rsidRPr="00A021DB">
        <w:rPr>
          <w:rFonts w:ascii="Arial" w:hAnsi="Arial" w:cs="Arial"/>
          <w:color w:val="000000" w:themeColor="text1"/>
        </w:rPr>
        <w:t>cefepime</w:t>
      </w:r>
      <w:proofErr w:type="spellEnd"/>
      <w:r w:rsidRPr="00A021DB">
        <w:rPr>
          <w:rFonts w:ascii="Arial" w:hAnsi="Arial" w:cs="Arial"/>
          <w:color w:val="000000" w:themeColor="text1"/>
        </w:rPr>
        <w:t xml:space="preserve"> también se usa para tratar a pacientes que han tenido fiebre y están en alto riesgo de una infección debido a que tienen un bajo número de glóbulos blancos. La inyección de </w:t>
      </w:r>
      <w:proofErr w:type="spellStart"/>
      <w:r w:rsidRPr="00A021DB">
        <w:rPr>
          <w:rFonts w:ascii="Arial" w:hAnsi="Arial" w:cs="Arial"/>
          <w:color w:val="000000" w:themeColor="text1"/>
        </w:rPr>
        <w:t>cefepime</w:t>
      </w:r>
      <w:proofErr w:type="spellEnd"/>
      <w:r w:rsidRPr="00A021DB">
        <w:rPr>
          <w:rFonts w:ascii="Arial" w:hAnsi="Arial" w:cs="Arial"/>
          <w:color w:val="000000" w:themeColor="text1"/>
        </w:rPr>
        <w:t xml:space="preserve"> se encuentra en una clase de medicamentos llamados antibióticos de cefalosporina. Funciona matando las bacterias.</w:t>
      </w:r>
    </w:p>
    <w:p w14:paraId="2CF194F6" w14:textId="77777777" w:rsidR="00734F81" w:rsidRPr="00A021DB" w:rsidRDefault="00734F81" w:rsidP="00734F81">
      <w:pPr>
        <w:spacing w:after="0" w:line="240" w:lineRule="atLeast"/>
        <w:jc w:val="both"/>
        <w:rPr>
          <w:rFonts w:ascii="Arial" w:eastAsia="Times New Roman" w:hAnsi="Arial" w:cs="Arial"/>
          <w:color w:val="000000" w:themeColor="text1"/>
          <w:lang w:val="es-DO"/>
        </w:rPr>
      </w:pPr>
    </w:p>
    <w:p w14:paraId="64776492" w14:textId="3C7398D8" w:rsidR="00FC4A30" w:rsidRPr="00A021DB" w:rsidRDefault="00FC4A30" w:rsidP="00734F81">
      <w:pPr>
        <w:spacing w:after="0" w:line="240" w:lineRule="atLeast"/>
        <w:jc w:val="both"/>
        <w:rPr>
          <w:rFonts w:ascii="Arial" w:eastAsia="Times New Roman" w:hAnsi="Arial" w:cs="Arial"/>
          <w:b/>
          <w:color w:val="000000" w:themeColor="text1"/>
          <w:lang w:val="es-DO"/>
        </w:rPr>
      </w:pPr>
      <w:r w:rsidRPr="00A021DB">
        <w:rPr>
          <w:rFonts w:ascii="Arial" w:eastAsia="Times New Roman" w:hAnsi="Arial" w:cs="Arial"/>
          <w:b/>
          <w:bCs/>
          <w:color w:val="000000" w:themeColor="text1"/>
          <w:lang w:val="es-DO"/>
        </w:rPr>
        <w:t>CONTRAINDICACIONES</w:t>
      </w:r>
      <w:r w:rsidR="00734F81" w:rsidRPr="00A021DB">
        <w:rPr>
          <w:rFonts w:ascii="Arial" w:eastAsia="Times New Roman" w:hAnsi="Arial" w:cs="Arial"/>
          <w:b/>
          <w:bCs/>
          <w:color w:val="000000" w:themeColor="text1"/>
          <w:lang w:val="es-DO"/>
        </w:rPr>
        <w:t>:</w:t>
      </w:r>
    </w:p>
    <w:p w14:paraId="535A1D31" w14:textId="20D9BC6B" w:rsidR="00FC4A30" w:rsidRPr="00A021DB" w:rsidRDefault="00734F81" w:rsidP="00734F81">
      <w:pPr>
        <w:spacing w:after="0" w:line="240" w:lineRule="atLeast"/>
        <w:jc w:val="both"/>
        <w:rPr>
          <w:rFonts w:ascii="Arial" w:eastAsia="Times New Roman" w:hAnsi="Arial" w:cs="Arial"/>
          <w:color w:val="000000" w:themeColor="text1"/>
          <w:lang w:val="es-DO"/>
        </w:rPr>
      </w:pPr>
      <w:proofErr w:type="spellStart"/>
      <w:r w:rsidRPr="00A021DB">
        <w:rPr>
          <w:rFonts w:ascii="Arial" w:eastAsia="Times New Roman" w:hAnsi="Arial" w:cs="Arial"/>
          <w:color w:val="000000" w:themeColor="text1"/>
          <w:lang w:val="es-DO"/>
        </w:rPr>
        <w:t>Cefepime</w:t>
      </w:r>
      <w:proofErr w:type="spellEnd"/>
      <w:r w:rsidR="00FC4A30" w:rsidRPr="00A021DB">
        <w:rPr>
          <w:rFonts w:ascii="Arial" w:eastAsia="Times New Roman" w:hAnsi="Arial" w:cs="Arial"/>
          <w:color w:val="000000" w:themeColor="text1"/>
          <w:lang w:val="es-DO"/>
        </w:rPr>
        <w:t xml:space="preserve"> está contraindicado en pacientes que han mostrado reacciones de hipersensibilidad inmediata al </w:t>
      </w:r>
      <w:proofErr w:type="spellStart"/>
      <w:r w:rsidR="00FC4A30" w:rsidRPr="00A021DB">
        <w:rPr>
          <w:rFonts w:ascii="Arial" w:eastAsia="Times New Roman" w:hAnsi="Arial" w:cs="Arial"/>
          <w:color w:val="000000" w:themeColor="text1"/>
          <w:lang w:val="es-DO"/>
        </w:rPr>
        <w:t>cefepime</w:t>
      </w:r>
      <w:proofErr w:type="spellEnd"/>
      <w:r w:rsidR="00FC4A30" w:rsidRPr="00A021DB">
        <w:rPr>
          <w:rFonts w:ascii="Arial" w:eastAsia="Times New Roman" w:hAnsi="Arial" w:cs="Arial"/>
          <w:color w:val="000000" w:themeColor="text1"/>
          <w:lang w:val="es-DO"/>
        </w:rPr>
        <w:t xml:space="preserve"> o a la clase de antibióticos de cefalosporina, penicilinas u otros antibióticos beta-</w:t>
      </w:r>
      <w:proofErr w:type="spellStart"/>
      <w:r w:rsidR="00FC4A30" w:rsidRPr="00A021DB">
        <w:rPr>
          <w:rFonts w:ascii="Arial" w:eastAsia="Times New Roman" w:hAnsi="Arial" w:cs="Arial"/>
          <w:color w:val="000000" w:themeColor="text1"/>
          <w:lang w:val="es-DO"/>
        </w:rPr>
        <w:t>lactámicos</w:t>
      </w:r>
      <w:proofErr w:type="spellEnd"/>
      <w:r w:rsidR="00FC4A30" w:rsidRPr="00A021DB">
        <w:rPr>
          <w:rFonts w:ascii="Arial" w:eastAsia="Times New Roman" w:hAnsi="Arial" w:cs="Arial"/>
          <w:color w:val="000000" w:themeColor="text1"/>
          <w:lang w:val="es-DO"/>
        </w:rPr>
        <w:t>.</w:t>
      </w:r>
    </w:p>
    <w:p w14:paraId="67B08E48" w14:textId="77777777" w:rsidR="00734F81" w:rsidRPr="00A021DB" w:rsidRDefault="00734F81" w:rsidP="00734F81">
      <w:pPr>
        <w:spacing w:after="0" w:line="240" w:lineRule="atLeast"/>
        <w:jc w:val="both"/>
        <w:rPr>
          <w:rFonts w:ascii="Arial" w:eastAsia="Times New Roman" w:hAnsi="Arial" w:cs="Arial"/>
          <w:color w:val="000000" w:themeColor="text1"/>
          <w:lang w:val="es-DO"/>
        </w:rPr>
      </w:pPr>
    </w:p>
    <w:p w14:paraId="431EB22C" w14:textId="39BB7627" w:rsidR="00FC4A30" w:rsidRPr="00A021DB" w:rsidRDefault="00FC4A30" w:rsidP="00734F81">
      <w:pPr>
        <w:spacing w:after="0" w:line="240" w:lineRule="atLeast"/>
        <w:jc w:val="both"/>
        <w:rPr>
          <w:rFonts w:ascii="Arial" w:eastAsia="Times New Roman" w:hAnsi="Arial" w:cs="Arial"/>
          <w:color w:val="000000" w:themeColor="text1"/>
          <w:lang w:val="es-DO"/>
        </w:rPr>
      </w:pPr>
      <w:r w:rsidRPr="00A021DB">
        <w:rPr>
          <w:rFonts w:ascii="Arial" w:eastAsia="Times New Roman" w:hAnsi="Arial" w:cs="Arial"/>
          <w:b/>
          <w:bCs/>
          <w:color w:val="000000" w:themeColor="text1"/>
          <w:lang w:val="es-DO"/>
        </w:rPr>
        <w:t>ALMACENAMIENTO</w:t>
      </w:r>
      <w:r w:rsidR="00734F81" w:rsidRPr="00A021DB">
        <w:rPr>
          <w:rFonts w:ascii="Arial" w:eastAsia="Times New Roman" w:hAnsi="Arial" w:cs="Arial"/>
          <w:b/>
          <w:bCs/>
          <w:color w:val="000000" w:themeColor="text1"/>
          <w:lang w:val="es-DO"/>
        </w:rPr>
        <w:t>:</w:t>
      </w:r>
    </w:p>
    <w:p w14:paraId="0BA625DE" w14:textId="592CC00F" w:rsidR="00FC4A30" w:rsidRPr="00A021DB" w:rsidRDefault="00FC4A30" w:rsidP="00734F81">
      <w:pPr>
        <w:spacing w:after="0" w:line="240" w:lineRule="atLeast"/>
        <w:jc w:val="both"/>
        <w:rPr>
          <w:rFonts w:ascii="Arial" w:eastAsia="Times New Roman" w:hAnsi="Arial" w:cs="Arial"/>
          <w:color w:val="000000" w:themeColor="text1"/>
          <w:lang w:val="es-DO"/>
        </w:rPr>
      </w:pPr>
      <w:r w:rsidRPr="00A021DB">
        <w:rPr>
          <w:rFonts w:ascii="Arial" w:eastAsia="Times New Roman" w:hAnsi="Arial" w:cs="Arial"/>
          <w:color w:val="000000" w:themeColor="text1"/>
          <w:lang w:val="es-DO"/>
        </w:rPr>
        <w:t>Almacenar en un lugar seco a menos de 30°C. Proteger</w:t>
      </w:r>
      <w:r w:rsidR="002D2AAD" w:rsidRPr="00A021DB">
        <w:rPr>
          <w:rFonts w:ascii="Arial" w:eastAsia="Times New Roman" w:hAnsi="Arial" w:cs="Arial"/>
          <w:color w:val="000000" w:themeColor="text1"/>
          <w:lang w:val="es-DO"/>
        </w:rPr>
        <w:t>lo</w:t>
      </w:r>
      <w:r w:rsidRPr="00A021DB">
        <w:rPr>
          <w:rFonts w:ascii="Arial" w:eastAsia="Times New Roman" w:hAnsi="Arial" w:cs="Arial"/>
          <w:color w:val="000000" w:themeColor="text1"/>
          <w:lang w:val="es-DO"/>
        </w:rPr>
        <w:t xml:space="preserve"> de la luz y la humedad.</w:t>
      </w:r>
    </w:p>
    <w:p w14:paraId="699AD22D" w14:textId="7932B52A" w:rsidR="002D2AAD" w:rsidRPr="00A021DB" w:rsidRDefault="002D2AAD" w:rsidP="00734F81">
      <w:pPr>
        <w:pStyle w:val="NormalWeb"/>
        <w:spacing w:after="0"/>
        <w:jc w:val="both"/>
        <w:rPr>
          <w:color w:val="000000" w:themeColor="text1"/>
          <w:sz w:val="22"/>
          <w:szCs w:val="22"/>
          <w:lang w:val="es-DO"/>
        </w:rPr>
      </w:pPr>
      <w:r w:rsidRPr="00A021DB">
        <w:rPr>
          <w:color w:val="000000" w:themeColor="text1"/>
          <w:sz w:val="22"/>
          <w:szCs w:val="22"/>
          <w:lang w:val="es-DO"/>
        </w:rPr>
        <w:t>El vial en la caja de cartón exterior para protegerlo de la luz.</w:t>
      </w:r>
    </w:p>
    <w:p w14:paraId="7B4F515F" w14:textId="77777777" w:rsidR="00734F81" w:rsidRPr="00A021DB" w:rsidRDefault="00734F81" w:rsidP="00734F81">
      <w:pPr>
        <w:pStyle w:val="NormalWeb"/>
        <w:spacing w:after="0"/>
        <w:jc w:val="both"/>
        <w:rPr>
          <w:color w:val="000000" w:themeColor="text1"/>
          <w:sz w:val="22"/>
          <w:szCs w:val="22"/>
          <w:lang w:val="es-DO"/>
        </w:rPr>
      </w:pPr>
    </w:p>
    <w:p w14:paraId="737E083F" w14:textId="6DA8313A" w:rsidR="002D2AAD" w:rsidRPr="00A021DB" w:rsidRDefault="002D2AAD" w:rsidP="00734F81">
      <w:pPr>
        <w:pStyle w:val="NormalWeb"/>
        <w:jc w:val="both"/>
        <w:rPr>
          <w:color w:val="000000" w:themeColor="text1"/>
          <w:sz w:val="22"/>
          <w:szCs w:val="22"/>
          <w:lang w:val="es-DO"/>
        </w:rPr>
      </w:pPr>
      <w:r w:rsidRPr="00A021DB">
        <w:rPr>
          <w:rStyle w:val="nfasis"/>
          <w:b/>
          <w:bCs/>
          <w:color w:val="000000" w:themeColor="text1"/>
          <w:sz w:val="22"/>
          <w:szCs w:val="22"/>
          <w:u w:val="single"/>
          <w:lang w:val="es-DO"/>
        </w:rPr>
        <w:t>Nota:</w:t>
      </w:r>
      <w:r w:rsidRPr="00A021DB">
        <w:rPr>
          <w:rStyle w:val="nfasis"/>
          <w:b/>
          <w:bCs/>
          <w:color w:val="000000" w:themeColor="text1"/>
          <w:sz w:val="22"/>
          <w:szCs w:val="22"/>
          <w:lang w:val="es-DO"/>
        </w:rPr>
        <w:t xml:space="preserve"> Para cuando  se use  la Solución Reconstituida:</w:t>
      </w:r>
      <w:r w:rsidRPr="00A021DB">
        <w:rPr>
          <w:color w:val="000000" w:themeColor="text1"/>
          <w:sz w:val="22"/>
          <w:szCs w:val="22"/>
          <w:lang w:val="es-DO"/>
        </w:rPr>
        <w:t xml:space="preserve"> El producto debe usarse de inmediato y  Mantener el vial en la caja de cartón exterior para protegerlo de la luz</w:t>
      </w:r>
      <w:r w:rsidR="00734F81" w:rsidRPr="00A021DB">
        <w:rPr>
          <w:color w:val="000000" w:themeColor="text1"/>
          <w:sz w:val="22"/>
          <w:szCs w:val="22"/>
          <w:lang w:val="es-DO"/>
        </w:rPr>
        <w:t>.</w:t>
      </w:r>
    </w:p>
    <w:p w14:paraId="5CA5DCD2" w14:textId="07D0E116" w:rsidR="0016384C" w:rsidRPr="00A021DB" w:rsidRDefault="0016384C" w:rsidP="00734F81">
      <w:pPr>
        <w:jc w:val="both"/>
        <w:rPr>
          <w:rFonts w:ascii="Arial" w:hAnsi="Arial" w:cs="Arial"/>
          <w:color w:val="000000" w:themeColor="text1"/>
          <w:lang w:val="es-DO"/>
        </w:rPr>
      </w:pPr>
    </w:p>
    <w:sectPr w:rsidR="0016384C" w:rsidRPr="00A021DB" w:rsidSect="00A64B5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6051AF" w14:textId="77777777" w:rsidR="00773071" w:rsidRDefault="00773071" w:rsidP="00A64B57">
      <w:pPr>
        <w:spacing w:after="0" w:line="240" w:lineRule="auto"/>
      </w:pPr>
      <w:r>
        <w:separator/>
      </w:r>
    </w:p>
  </w:endnote>
  <w:endnote w:type="continuationSeparator" w:id="0">
    <w:p w14:paraId="45DB27B5" w14:textId="77777777" w:rsidR="00773071" w:rsidRDefault="00773071" w:rsidP="00A64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D7CF36" w14:textId="77777777" w:rsidR="00804AA0" w:rsidRDefault="00804AA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3CC2A7" w14:textId="77777777" w:rsidR="00A64B57" w:rsidRPr="00F769EB" w:rsidRDefault="00A64B57" w:rsidP="00A64B57">
    <w:pPr>
      <w:spacing w:after="0" w:line="240" w:lineRule="auto"/>
      <w:jc w:val="center"/>
      <w:rPr>
        <w:sz w:val="18"/>
        <w:szCs w:val="18"/>
      </w:rPr>
    </w:pPr>
    <w:r w:rsidRPr="00F769EB">
      <w:rPr>
        <w:sz w:val="18"/>
        <w:szCs w:val="18"/>
      </w:rPr>
      <w:t>Calle Federico Velázquez No.1, María Auxiliadora, Santo Domingo, D.N.</w:t>
    </w:r>
    <w:r w:rsidR="00F769EB" w:rsidRPr="00F769EB">
      <w:rPr>
        <w:sz w:val="18"/>
        <w:szCs w:val="18"/>
      </w:rPr>
      <w:t>, Rep.</w:t>
    </w:r>
    <w:r w:rsidR="004001B5">
      <w:rPr>
        <w:sz w:val="18"/>
        <w:szCs w:val="18"/>
      </w:rPr>
      <w:t xml:space="preserve"> </w:t>
    </w:r>
    <w:r w:rsidR="00F769EB" w:rsidRPr="00F769EB">
      <w:rPr>
        <w:sz w:val="18"/>
        <w:szCs w:val="18"/>
      </w:rPr>
      <w:t>Dom.,</w:t>
    </w:r>
    <w:r w:rsidRPr="00F769EB">
      <w:rPr>
        <w:sz w:val="18"/>
        <w:szCs w:val="18"/>
      </w:rPr>
      <w:t xml:space="preserve"> Tel.809-681-0080</w:t>
    </w:r>
    <w:r w:rsidR="00F769EB" w:rsidRPr="00F769EB">
      <w:rPr>
        <w:sz w:val="18"/>
        <w:szCs w:val="18"/>
      </w:rPr>
      <w:t xml:space="preserve"> / Fax.809-681-5580</w:t>
    </w:r>
  </w:p>
  <w:p w14:paraId="5904860A" w14:textId="77777777" w:rsidR="00A64B57" w:rsidRPr="00F769EB" w:rsidRDefault="00A64B57" w:rsidP="00A64B57">
    <w:pPr>
      <w:spacing w:after="0" w:line="240" w:lineRule="auto"/>
      <w:jc w:val="center"/>
      <w:rPr>
        <w:sz w:val="18"/>
        <w:szCs w:val="18"/>
        <w:lang w:val="en-US"/>
      </w:rPr>
    </w:pPr>
    <w:r w:rsidRPr="00F769EB">
      <w:rPr>
        <w:sz w:val="18"/>
        <w:szCs w:val="18"/>
        <w:lang w:val="en-US"/>
      </w:rPr>
      <w:t xml:space="preserve">Website: </w:t>
    </w:r>
    <w:hyperlink r:id="rId1" w:history="1">
      <w:r w:rsidRPr="00F769EB">
        <w:rPr>
          <w:rStyle w:val="Hipervnculo"/>
          <w:sz w:val="18"/>
          <w:szCs w:val="18"/>
          <w:lang w:val="en-US"/>
        </w:rPr>
        <w:t>www.cecanot.com.do</w:t>
      </w:r>
    </w:hyperlink>
    <w:r w:rsidRPr="00F769EB">
      <w:rPr>
        <w:sz w:val="18"/>
        <w:szCs w:val="18"/>
        <w:lang w:val="en-US"/>
      </w:rPr>
      <w:t xml:space="preserve"> / E-Mail: administrador@cecanot.com.do</w:t>
    </w:r>
  </w:p>
  <w:p w14:paraId="1D9713C3" w14:textId="77777777" w:rsidR="00A64B57" w:rsidRPr="00A64B57" w:rsidRDefault="00A64B57" w:rsidP="00A64B57">
    <w:pPr>
      <w:pStyle w:val="Piedepgina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E97BD6" w14:textId="77777777" w:rsidR="00804AA0" w:rsidRDefault="00804AA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4386A0" w14:textId="77777777" w:rsidR="00773071" w:rsidRDefault="00773071" w:rsidP="00A64B57">
      <w:pPr>
        <w:spacing w:after="0" w:line="240" w:lineRule="auto"/>
      </w:pPr>
      <w:r>
        <w:separator/>
      </w:r>
    </w:p>
  </w:footnote>
  <w:footnote w:type="continuationSeparator" w:id="0">
    <w:p w14:paraId="29130FB0" w14:textId="77777777" w:rsidR="00773071" w:rsidRDefault="00773071" w:rsidP="00A64B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B531E8" w14:textId="77777777" w:rsidR="00804AA0" w:rsidRDefault="00804AA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24A5C5" w14:textId="77777777" w:rsidR="007D558A" w:rsidRDefault="007D558A" w:rsidP="007D558A">
    <w:pPr>
      <w:pStyle w:val="Encabezado"/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 wp14:anchorId="59954A37" wp14:editId="4F4D0FFF">
          <wp:simplePos x="0" y="0"/>
          <wp:positionH relativeFrom="column">
            <wp:posOffset>5639435</wp:posOffset>
          </wp:positionH>
          <wp:positionV relativeFrom="paragraph">
            <wp:posOffset>-316230</wp:posOffset>
          </wp:positionV>
          <wp:extent cx="775970" cy="831215"/>
          <wp:effectExtent l="0" t="0" r="5080" b="6985"/>
          <wp:wrapSquare wrapText="bothSides"/>
          <wp:docPr id="4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5970" cy="8312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5A6B98AE" wp14:editId="6CCD2C64">
          <wp:simplePos x="0" y="0"/>
          <wp:positionH relativeFrom="page">
            <wp:align>left</wp:align>
          </wp:positionH>
          <wp:positionV relativeFrom="paragraph">
            <wp:posOffset>-454660</wp:posOffset>
          </wp:positionV>
          <wp:extent cx="2884170" cy="1082040"/>
          <wp:effectExtent l="0" t="0" r="0" b="3810"/>
          <wp:wrapThrough wrapText="bothSides">
            <wp:wrapPolygon edited="0">
              <wp:start x="0" y="0"/>
              <wp:lineTo x="0" y="21296"/>
              <wp:lineTo x="285" y="21296"/>
              <wp:lineTo x="856" y="20535"/>
              <wp:lineTo x="21258" y="12930"/>
              <wp:lineTo x="21400" y="10268"/>
              <wp:lineTo x="16978" y="7606"/>
              <wp:lineTo x="10700" y="6085"/>
              <wp:lineTo x="18690" y="0"/>
              <wp:lineTo x="0" y="0"/>
            </wp:wrapPolygon>
          </wp:wrapThrough>
          <wp:docPr id="1" name="Imagen 1" descr="C:\Users\Sr. Reyes\Desktop\LOGO NUEVO SRSM\timbrado_Metropolita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r. Reyes\Desktop\LOGO NUEVO SRSM\timbrado_Metropolitano.png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4281" b="83838"/>
                  <a:stretch/>
                </pic:blipFill>
                <pic:spPr bwMode="auto">
                  <a:xfrm>
                    <a:off x="0" y="0"/>
                    <a:ext cx="2884170" cy="108204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14:paraId="35F853B4" w14:textId="77777777" w:rsidR="007D558A" w:rsidRDefault="007D558A" w:rsidP="007D558A">
    <w:pPr>
      <w:pStyle w:val="Encabezado"/>
    </w:pPr>
  </w:p>
  <w:p w14:paraId="12AFF1C4" w14:textId="77777777" w:rsidR="007D558A" w:rsidRPr="0023567C" w:rsidRDefault="007D558A" w:rsidP="007D558A">
    <w:pPr>
      <w:pStyle w:val="Encabezado"/>
      <w:rPr>
        <w:lang w:val="es-DO"/>
      </w:rPr>
    </w:pPr>
    <w:r w:rsidRPr="0023567C">
      <w:rPr>
        <w:lang w:val="es-DO"/>
      </w:rPr>
      <w:t xml:space="preserve">                                                  </w:t>
    </w:r>
  </w:p>
  <w:p w14:paraId="02DAA9B9" w14:textId="77777777" w:rsidR="007D558A" w:rsidRDefault="007D558A" w:rsidP="007D558A">
    <w:pPr>
      <w:pStyle w:val="msonospacing0"/>
      <w:rPr>
        <w:color w:val="008000"/>
        <w:lang w:val="es-DO"/>
      </w:rPr>
    </w:pPr>
    <w:r>
      <w:rPr>
        <w:color w:val="008000"/>
        <w:lang w:val="es-DO"/>
      </w:rPr>
      <w:t xml:space="preserve">                                            </w:t>
    </w:r>
    <w:r w:rsidRPr="0023567C">
      <w:rPr>
        <w:color w:val="008000"/>
        <w:lang w:val="es-DO"/>
      </w:rPr>
      <w:t>Centro Cardio-Neuro Oftalmológico y Trasplante</w:t>
    </w:r>
  </w:p>
  <w:p w14:paraId="19ADD68E" w14:textId="77777777" w:rsidR="007D558A" w:rsidRPr="0023567C" w:rsidRDefault="007D558A" w:rsidP="007D558A">
    <w:pPr>
      <w:pStyle w:val="msonospacing0"/>
      <w:ind w:left="2832"/>
      <w:rPr>
        <w:lang w:val="es-DO"/>
      </w:rPr>
    </w:pPr>
    <w:r w:rsidRPr="0023567C">
      <w:rPr>
        <w:lang w:val="es-DO"/>
      </w:rPr>
      <w:t>Ciudad Sanitaria Dr. Luís E. Aybar</w:t>
    </w:r>
  </w:p>
  <w:p w14:paraId="3D0CCFD8" w14:textId="77777777" w:rsidR="007D558A" w:rsidRPr="0023567C" w:rsidRDefault="007D558A" w:rsidP="007D558A">
    <w:pPr>
      <w:pStyle w:val="msonospacing0"/>
      <w:rPr>
        <w:lang w:val="es-DO"/>
      </w:rPr>
    </w:pPr>
    <w:r>
      <w:rPr>
        <w:color w:val="800080"/>
        <w:lang w:val="es-DO"/>
      </w:rPr>
      <w:t xml:space="preserve">                                                                        </w:t>
    </w:r>
    <w:r w:rsidRPr="0023567C">
      <w:rPr>
        <w:lang w:val="es-DO"/>
      </w:rPr>
      <w:t>RNC  4-3006345-2</w:t>
    </w:r>
  </w:p>
  <w:p w14:paraId="2F8E5C2C" w14:textId="538FB624" w:rsidR="007D558A" w:rsidRPr="0023567C" w:rsidRDefault="007D558A" w:rsidP="007D558A">
    <w:pPr>
      <w:pStyle w:val="Encabezado"/>
      <w:rPr>
        <w:rFonts w:ascii="Calibri" w:eastAsia="Calibri" w:hAnsi="Calibri" w:cs="Times New Roman"/>
        <w:b/>
        <w:lang w:val="es-DO"/>
      </w:rPr>
    </w:pPr>
    <w:r>
      <w:rPr>
        <w:rFonts w:ascii="Calibri" w:eastAsia="Calibri" w:hAnsi="Calibri" w:cs="Times New Roman"/>
        <w:b/>
        <w:lang w:val="es-DO"/>
      </w:rPr>
      <w:t xml:space="preserve">                                                 </w:t>
    </w:r>
    <w:r w:rsidRPr="0023567C">
      <w:rPr>
        <w:rFonts w:ascii="Calibri" w:eastAsia="Calibri" w:hAnsi="Calibri" w:cs="Times New Roman"/>
        <w:b/>
        <w:lang w:val="es-DO"/>
      </w:rPr>
      <w:t>“Año de</w:t>
    </w:r>
    <w:r w:rsidR="00804AA0">
      <w:rPr>
        <w:rFonts w:ascii="Calibri" w:eastAsia="Calibri" w:hAnsi="Calibri" w:cs="Times New Roman"/>
        <w:b/>
        <w:lang w:val="es-DO"/>
      </w:rPr>
      <w:t xml:space="preserve"> la Consolidación de la Seguridad Alimentaria</w:t>
    </w:r>
    <w:r>
      <w:rPr>
        <w:rFonts w:ascii="Calibri" w:eastAsia="Calibri" w:hAnsi="Calibri" w:cs="Times New Roman"/>
        <w:b/>
        <w:lang w:val="es-DO"/>
      </w:rPr>
      <w:t>”</w:t>
    </w:r>
  </w:p>
  <w:p w14:paraId="0372E180" w14:textId="77777777" w:rsidR="00ED7BF2" w:rsidRPr="00ED7BF2" w:rsidRDefault="00ED7BF2" w:rsidP="00ED7BF2">
    <w:pPr>
      <w:pStyle w:val="Encabezado"/>
      <w:jc w:val="center"/>
      <w:rPr>
        <w:b/>
        <w:sz w:val="28"/>
        <w:szCs w:val="28"/>
      </w:rPr>
    </w:pPr>
  </w:p>
  <w:p w14:paraId="694192FC" w14:textId="77777777" w:rsidR="00A64B57" w:rsidRDefault="00B8524A" w:rsidP="00B8524A">
    <w:pPr>
      <w:pStyle w:val="Encabezado"/>
      <w:ind w:left="1416"/>
    </w:pPr>
    <w:r>
      <w:tab/>
      <w:t xml:space="preserve">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54D5BF" w14:textId="77777777" w:rsidR="00804AA0" w:rsidRDefault="00804AA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68388E"/>
    <w:multiLevelType w:val="hybridMultilevel"/>
    <w:tmpl w:val="C22A7E5E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2FF01B5"/>
    <w:multiLevelType w:val="hybridMultilevel"/>
    <w:tmpl w:val="432699E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9564B6"/>
    <w:multiLevelType w:val="hybridMultilevel"/>
    <w:tmpl w:val="D3CA67F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366C35"/>
    <w:multiLevelType w:val="hybridMultilevel"/>
    <w:tmpl w:val="275674F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5B5A44"/>
    <w:multiLevelType w:val="hybridMultilevel"/>
    <w:tmpl w:val="010EE1A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56586E"/>
    <w:multiLevelType w:val="hybridMultilevel"/>
    <w:tmpl w:val="5F2CA2D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FC12D5"/>
    <w:multiLevelType w:val="hybridMultilevel"/>
    <w:tmpl w:val="25DCAC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524A"/>
    <w:rsid w:val="000206A4"/>
    <w:rsid w:val="0003447B"/>
    <w:rsid w:val="000360F8"/>
    <w:rsid w:val="00046F26"/>
    <w:rsid w:val="00050476"/>
    <w:rsid w:val="00050DE1"/>
    <w:rsid w:val="000571C6"/>
    <w:rsid w:val="000869E7"/>
    <w:rsid w:val="00087EFD"/>
    <w:rsid w:val="000939B7"/>
    <w:rsid w:val="000943FE"/>
    <w:rsid w:val="000962D2"/>
    <w:rsid w:val="000C3DA9"/>
    <w:rsid w:val="00107F22"/>
    <w:rsid w:val="001250E6"/>
    <w:rsid w:val="001265C3"/>
    <w:rsid w:val="00162947"/>
    <w:rsid w:val="0016384C"/>
    <w:rsid w:val="00172816"/>
    <w:rsid w:val="00184C93"/>
    <w:rsid w:val="00195A1F"/>
    <w:rsid w:val="001B0B89"/>
    <w:rsid w:val="001E6089"/>
    <w:rsid w:val="00233D0A"/>
    <w:rsid w:val="002614D2"/>
    <w:rsid w:val="00276531"/>
    <w:rsid w:val="002B00B5"/>
    <w:rsid w:val="002D10D7"/>
    <w:rsid w:val="002D2AAD"/>
    <w:rsid w:val="002D5836"/>
    <w:rsid w:val="002D6459"/>
    <w:rsid w:val="002D67CB"/>
    <w:rsid w:val="002E4272"/>
    <w:rsid w:val="002E67E7"/>
    <w:rsid w:val="002F0471"/>
    <w:rsid w:val="002F17D6"/>
    <w:rsid w:val="002F3F01"/>
    <w:rsid w:val="00332EF1"/>
    <w:rsid w:val="00354D1B"/>
    <w:rsid w:val="003968F2"/>
    <w:rsid w:val="003B4DD7"/>
    <w:rsid w:val="003D74E6"/>
    <w:rsid w:val="003E1EC4"/>
    <w:rsid w:val="003E314A"/>
    <w:rsid w:val="003F2979"/>
    <w:rsid w:val="004001B5"/>
    <w:rsid w:val="004811B7"/>
    <w:rsid w:val="004936C7"/>
    <w:rsid w:val="004A2E59"/>
    <w:rsid w:val="004B7A31"/>
    <w:rsid w:val="004B7BCA"/>
    <w:rsid w:val="004C2898"/>
    <w:rsid w:val="004E0629"/>
    <w:rsid w:val="004E3B31"/>
    <w:rsid w:val="004E498F"/>
    <w:rsid w:val="005150A4"/>
    <w:rsid w:val="0052391B"/>
    <w:rsid w:val="005344AE"/>
    <w:rsid w:val="00550B98"/>
    <w:rsid w:val="005576DB"/>
    <w:rsid w:val="0057312F"/>
    <w:rsid w:val="0057748F"/>
    <w:rsid w:val="005E74B8"/>
    <w:rsid w:val="005F077D"/>
    <w:rsid w:val="00601115"/>
    <w:rsid w:val="00603041"/>
    <w:rsid w:val="006233A6"/>
    <w:rsid w:val="0063393D"/>
    <w:rsid w:val="006510DD"/>
    <w:rsid w:val="006606A0"/>
    <w:rsid w:val="00693BBC"/>
    <w:rsid w:val="006A6C53"/>
    <w:rsid w:val="006F5516"/>
    <w:rsid w:val="00704D43"/>
    <w:rsid w:val="007060E3"/>
    <w:rsid w:val="00710C71"/>
    <w:rsid w:val="00716F06"/>
    <w:rsid w:val="00734F81"/>
    <w:rsid w:val="00740ECD"/>
    <w:rsid w:val="007438DF"/>
    <w:rsid w:val="007476D2"/>
    <w:rsid w:val="00773071"/>
    <w:rsid w:val="007C61DD"/>
    <w:rsid w:val="007D558A"/>
    <w:rsid w:val="007E561A"/>
    <w:rsid w:val="007F23EC"/>
    <w:rsid w:val="007F2695"/>
    <w:rsid w:val="007F585C"/>
    <w:rsid w:val="007F6949"/>
    <w:rsid w:val="00804AA0"/>
    <w:rsid w:val="008106B9"/>
    <w:rsid w:val="00811E00"/>
    <w:rsid w:val="00840B89"/>
    <w:rsid w:val="00854198"/>
    <w:rsid w:val="00867071"/>
    <w:rsid w:val="008A627F"/>
    <w:rsid w:val="008B36CF"/>
    <w:rsid w:val="008D1FE3"/>
    <w:rsid w:val="008E10E5"/>
    <w:rsid w:val="008E5DD0"/>
    <w:rsid w:val="0090295F"/>
    <w:rsid w:val="00905E67"/>
    <w:rsid w:val="00914EF4"/>
    <w:rsid w:val="00935E97"/>
    <w:rsid w:val="00963019"/>
    <w:rsid w:val="00970E64"/>
    <w:rsid w:val="00977A07"/>
    <w:rsid w:val="00986F0B"/>
    <w:rsid w:val="00A021DB"/>
    <w:rsid w:val="00A1193F"/>
    <w:rsid w:val="00A2143F"/>
    <w:rsid w:val="00A23286"/>
    <w:rsid w:val="00A2490A"/>
    <w:rsid w:val="00A27372"/>
    <w:rsid w:val="00A37A1B"/>
    <w:rsid w:val="00A64B57"/>
    <w:rsid w:val="00A91B06"/>
    <w:rsid w:val="00AA494B"/>
    <w:rsid w:val="00AB7C14"/>
    <w:rsid w:val="00AE4099"/>
    <w:rsid w:val="00AE4B37"/>
    <w:rsid w:val="00AE62C8"/>
    <w:rsid w:val="00B0759C"/>
    <w:rsid w:val="00B225EE"/>
    <w:rsid w:val="00B235C6"/>
    <w:rsid w:val="00B36C0C"/>
    <w:rsid w:val="00B8524A"/>
    <w:rsid w:val="00B91FD1"/>
    <w:rsid w:val="00BB3E7B"/>
    <w:rsid w:val="00BB60F5"/>
    <w:rsid w:val="00BC5C49"/>
    <w:rsid w:val="00BD4604"/>
    <w:rsid w:val="00BE62E5"/>
    <w:rsid w:val="00C02F2A"/>
    <w:rsid w:val="00C131F1"/>
    <w:rsid w:val="00C56F2D"/>
    <w:rsid w:val="00C77EA8"/>
    <w:rsid w:val="00CC594A"/>
    <w:rsid w:val="00CC61DE"/>
    <w:rsid w:val="00CC66BC"/>
    <w:rsid w:val="00D22417"/>
    <w:rsid w:val="00D55139"/>
    <w:rsid w:val="00D60ED0"/>
    <w:rsid w:val="00D73153"/>
    <w:rsid w:val="00D94549"/>
    <w:rsid w:val="00DF64B1"/>
    <w:rsid w:val="00E01FF6"/>
    <w:rsid w:val="00E02DD1"/>
    <w:rsid w:val="00E0452A"/>
    <w:rsid w:val="00E4214B"/>
    <w:rsid w:val="00E711DE"/>
    <w:rsid w:val="00E72BAA"/>
    <w:rsid w:val="00E85416"/>
    <w:rsid w:val="00E860C9"/>
    <w:rsid w:val="00E90DCF"/>
    <w:rsid w:val="00E97806"/>
    <w:rsid w:val="00EC12DD"/>
    <w:rsid w:val="00ED781B"/>
    <w:rsid w:val="00ED7BF2"/>
    <w:rsid w:val="00EE3ED6"/>
    <w:rsid w:val="00EE3F50"/>
    <w:rsid w:val="00EE4D74"/>
    <w:rsid w:val="00F2097E"/>
    <w:rsid w:val="00F31431"/>
    <w:rsid w:val="00F33864"/>
    <w:rsid w:val="00F44FE0"/>
    <w:rsid w:val="00F51065"/>
    <w:rsid w:val="00F5144D"/>
    <w:rsid w:val="00F769EB"/>
    <w:rsid w:val="00F90E47"/>
    <w:rsid w:val="00FA4A6D"/>
    <w:rsid w:val="00FB490C"/>
    <w:rsid w:val="00FC4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53E8C65D"/>
  <w15:docId w15:val="{E11A7AF3-2BDD-4F1E-A2F4-69B5F20E6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36C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64B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64B57"/>
  </w:style>
  <w:style w:type="paragraph" w:styleId="Piedepgina">
    <w:name w:val="footer"/>
    <w:basedOn w:val="Normal"/>
    <w:link w:val="PiedepginaCar"/>
    <w:uiPriority w:val="99"/>
    <w:unhideWhenUsed/>
    <w:rsid w:val="00A64B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64B57"/>
  </w:style>
  <w:style w:type="paragraph" w:styleId="Textodeglobo">
    <w:name w:val="Balloon Text"/>
    <w:basedOn w:val="Normal"/>
    <w:link w:val="TextodegloboCar"/>
    <w:uiPriority w:val="99"/>
    <w:semiHidden/>
    <w:unhideWhenUsed/>
    <w:rsid w:val="00A64B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64B57"/>
    <w:rPr>
      <w:rFonts w:ascii="Tahoma" w:hAnsi="Tahoma" w:cs="Tahoma"/>
      <w:sz w:val="16"/>
      <w:szCs w:val="16"/>
    </w:rPr>
  </w:style>
  <w:style w:type="paragraph" w:customStyle="1" w:styleId="msonospacing0">
    <w:name w:val="msonospacing"/>
    <w:rsid w:val="00A64B57"/>
    <w:pPr>
      <w:spacing w:after="0" w:line="240" w:lineRule="auto"/>
    </w:pPr>
    <w:rPr>
      <w:rFonts w:ascii="Calibri" w:eastAsia="Calibri" w:hAnsi="Calibri" w:cs="Times New Roman"/>
    </w:rPr>
  </w:style>
  <w:style w:type="character" w:styleId="Hipervnculo">
    <w:name w:val="Hyperlink"/>
    <w:basedOn w:val="Fuentedeprrafopredeter"/>
    <w:uiPriority w:val="99"/>
    <w:unhideWhenUsed/>
    <w:rsid w:val="00A64B57"/>
    <w:rPr>
      <w:color w:val="0000FF" w:themeColor="hyperlink"/>
      <w:u w:val="single"/>
    </w:rPr>
  </w:style>
  <w:style w:type="paragraph" w:styleId="Sinespaciado">
    <w:name w:val="No Spacing"/>
    <w:uiPriority w:val="1"/>
    <w:qFormat/>
    <w:rsid w:val="00ED7BF2"/>
    <w:pPr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2D10D7"/>
    <w:pPr>
      <w:ind w:left="720"/>
      <w:contextualSpacing/>
    </w:pPr>
  </w:style>
  <w:style w:type="character" w:styleId="nfasis">
    <w:name w:val="Emphasis"/>
    <w:basedOn w:val="Fuentedeprrafopredeter"/>
    <w:uiPriority w:val="20"/>
    <w:qFormat/>
    <w:rsid w:val="005576DB"/>
    <w:rPr>
      <w:i/>
      <w:iCs/>
    </w:rPr>
  </w:style>
  <w:style w:type="table" w:styleId="Tablaconcuadrcula">
    <w:name w:val="Table Grid"/>
    <w:basedOn w:val="Tablanormal"/>
    <w:uiPriority w:val="59"/>
    <w:rsid w:val="002F04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7438DF"/>
    <w:rPr>
      <w:color w:val="808080"/>
    </w:rPr>
  </w:style>
  <w:style w:type="paragraph" w:styleId="NormalWeb">
    <w:name w:val="Normal (Web)"/>
    <w:basedOn w:val="Normal"/>
    <w:uiPriority w:val="99"/>
    <w:unhideWhenUsed/>
    <w:rsid w:val="002D2AAD"/>
    <w:pPr>
      <w:spacing w:after="240" w:line="240" w:lineRule="atLeast"/>
    </w:pPr>
    <w:rPr>
      <w:rFonts w:ascii="Arial" w:eastAsia="Times New Roman" w:hAnsi="Arial" w:cs="Arial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763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43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74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019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550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4825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8502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295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2720309">
                                      <w:marLeft w:val="0"/>
                                      <w:marRight w:val="0"/>
                                      <w:marTop w:val="24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70351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57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96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4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16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60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7832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7537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9917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6191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ecanot.com.do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soriano\Desktop\CECANOT_Timbrado_V2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577C6-2171-4735-B54E-FC2329D50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CECANOT_Timbrado_V2</Template>
  <TotalTime>1</TotalTime>
  <Pages>1</Pages>
  <Words>239</Words>
  <Characters>1315</Characters>
  <Application>Microsoft Office Word</Application>
  <DocSecurity>0</DocSecurity>
  <Lines>10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Hospital CECANOT</Company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Dra.Mayra Soriano</dc:creator>
  <cp:lastModifiedBy>Namibia Paulino</cp:lastModifiedBy>
  <cp:revision>2</cp:revision>
  <cp:lastPrinted>2017-10-06T16:33:00Z</cp:lastPrinted>
  <dcterms:created xsi:type="dcterms:W3CDTF">2020-05-18T17:07:00Z</dcterms:created>
  <dcterms:modified xsi:type="dcterms:W3CDTF">2020-05-18T17:07:00Z</dcterms:modified>
</cp:coreProperties>
</file>